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91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42" w:lineRule="auto"/>
        <w:widowControl w:val="off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Протокол № РМР/</w:t>
      </w:r>
      <w:r>
        <w:rPr>
          <w:rFonts w:ascii="Times New Roman" w:hAnsi="Times New Roman"/>
          <w:sz w:val="24"/>
          <w:szCs w:val="24"/>
        </w:rPr>
        <w:t xml:space="preserve">2746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  <w:highlight w:val="yellow"/>
        </w:rPr>
      </w:r>
    </w:p>
    <w:p>
      <w:pPr>
        <w:pStyle w:val="991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42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/>
          <w:sz w:val="24"/>
          <w:szCs w:val="24"/>
          <w:highlight w:val="none"/>
        </w:rPr>
        <w:t xml:space="preserve">чно</w:t>
      </w:r>
      <w:r>
        <w:rPr>
          <w:rFonts w:ascii="Times New Roman" w:hAnsi="Times New Roman"/>
          <w:sz w:val="24"/>
          <w:szCs w:val="24"/>
          <w:highlight w:val="none"/>
        </w:rPr>
        <w:t xml:space="preserve">-</w:t>
      </w:r>
      <w:r>
        <w:rPr>
          <w:rFonts w:ascii="Times New Roman" w:hAnsi="Times New Roman"/>
          <w:sz w:val="24"/>
          <w:szCs w:val="24"/>
          <w:highlight w:val="none"/>
        </w:rPr>
        <w:t xml:space="preserve">з</w:t>
      </w:r>
      <w:r>
        <w:rPr>
          <w:rFonts w:ascii="Times New Roman" w:hAnsi="Times New Roman"/>
          <w:sz w:val="24"/>
          <w:szCs w:val="24"/>
          <w:highlight w:val="none"/>
        </w:rPr>
        <w:t xml:space="preserve">а</w:t>
      </w:r>
      <w:r>
        <w:rPr>
          <w:rFonts w:ascii="Times New Roman" w:hAnsi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/>
          <w:sz w:val="24"/>
          <w:szCs w:val="24"/>
          <w:highlight w:val="none"/>
        </w:rPr>
        <w:t xml:space="preserve">ч</w:t>
      </w:r>
      <w:r>
        <w:rPr>
          <w:rFonts w:ascii="Times New Roman" w:hAnsi="Times New Roman"/>
          <w:sz w:val="24"/>
          <w:szCs w:val="24"/>
          <w:highlight w:val="none"/>
        </w:rPr>
        <w:t xml:space="preserve">н</w:t>
      </w:r>
      <w:r>
        <w:rPr>
          <w:rFonts w:ascii="Times New Roman" w:hAnsi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/>
          <w:sz w:val="24"/>
          <w:szCs w:val="24"/>
          <w:highlight w:val="none"/>
        </w:rPr>
        <w:t xml:space="preserve">г</w:t>
      </w:r>
      <w:r>
        <w:rPr>
          <w:rFonts w:ascii="Times New Roman" w:hAnsi="Times New Roman"/>
          <w:sz w:val="24"/>
          <w:szCs w:val="24"/>
          <w:highlight w:val="none"/>
        </w:rPr>
        <w:t xml:space="preserve">о</w:t>
      </w:r>
      <w:r>
        <w:rPr>
          <w:rFonts w:ascii="Times New Roman" w:hAnsi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/>
          <w:sz w:val="24"/>
          <w:szCs w:val="24"/>
          <w:highlight w:val="none"/>
        </w:rPr>
        <w:t xml:space="preserve">з</w:t>
      </w:r>
      <w:r>
        <w:rPr>
          <w:rFonts w:ascii="Times New Roman" w:hAnsi="Times New Roman"/>
          <w:sz w:val="24"/>
          <w:szCs w:val="24"/>
          <w:highlight w:val="none"/>
        </w:rPr>
        <w:t xml:space="preserve">а</w:t>
      </w:r>
      <w:r>
        <w:rPr>
          <w:rFonts w:ascii="Times New Roman" w:hAnsi="Times New Roman"/>
          <w:sz w:val="24"/>
          <w:szCs w:val="24"/>
          <w:highlight w:val="none"/>
        </w:rPr>
        <w:t xml:space="preserve">с</w:t>
      </w:r>
      <w:r>
        <w:rPr>
          <w:rFonts w:ascii="Times New Roman" w:hAnsi="Times New Roman"/>
          <w:sz w:val="24"/>
          <w:szCs w:val="24"/>
          <w:highlight w:val="none"/>
        </w:rPr>
        <w:t xml:space="preserve">е</w:t>
      </w:r>
      <w:r>
        <w:rPr>
          <w:rFonts w:ascii="Times New Roman" w:hAnsi="Times New Roman"/>
          <w:sz w:val="24"/>
          <w:szCs w:val="24"/>
          <w:highlight w:val="none"/>
        </w:rPr>
        <w:t xml:space="preserve">д</w:t>
      </w:r>
      <w:r>
        <w:rPr>
          <w:rFonts w:ascii="Times New Roman" w:hAnsi="Times New Roman"/>
          <w:sz w:val="24"/>
          <w:szCs w:val="24"/>
        </w:rPr>
        <w:t xml:space="preserve">ания Постоянно действующей конкурсной комиссии (далее Комиссия)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91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42" w:lineRule="auto"/>
        <w:widowControl w:val="off"/>
        <w:rPr>
          <w:rFonts w:ascii="Times New Roman" w:hAnsi="Times New Roman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sz w:val="24"/>
          <w:szCs w:val="24"/>
        </w:rPr>
        <w:t xml:space="preserve">по утверждению Документаций о закупке по запросам предложений, Извещений</w:t>
        <w:br/>
        <w:t xml:space="preserve">о проведении запросов предложений, Документаций о закупке по конкурсам</w:t>
      </w:r>
      <w:r>
        <w:rPr>
          <w:rFonts w:ascii="Times New Roman" w:hAnsi="Times New Roman"/>
          <w:sz w:val="24"/>
          <w:szCs w:val="24"/>
        </w:rPr>
        <w:t xml:space="preserve">, Извещений</w:t>
        <w:br/>
        <w:t xml:space="preserve">о проведении конкурсов, Извещений </w:t>
      </w:r>
      <w:r>
        <w:rPr>
          <w:rFonts w:ascii="Times New Roman" w:hAnsi="Times New Roman"/>
          <w:sz w:val="24"/>
          <w:szCs w:val="24"/>
        </w:rPr>
        <w:t xml:space="preserve">о проведении запросов цен,</w:t>
        <w:br/>
        <w:t xml:space="preserve">Руководств по экспертной оценке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91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42" w:lineRule="auto"/>
        <w:widowControl w:val="off"/>
        <w:rPr>
          <w:rFonts w:ascii="Times New Roman" w:hAnsi="Times New Roman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tbl>
      <w:tblPr>
        <w:tblW w:w="9923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379"/>
        <w:gridCol w:w="1701"/>
        <w:gridCol w:w="1843"/>
      </w:tblGrid>
      <w:tr>
        <w:tblPrEx/>
        <w:trPr>
          <w:trHeight w:val="60"/>
        </w:trPr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1021"/>
              <w:ind w:firstLine="0"/>
              <w:jc w:val="center"/>
              <w:spacing w:line="242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Место заседания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021"/>
              <w:ind w:firstLine="0"/>
              <w:jc w:val="center"/>
              <w:spacing w:line="242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Дата принятия решения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1"/>
              <w:ind w:firstLine="0"/>
              <w:jc w:val="center"/>
              <w:spacing w:line="242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Дата подписания протокола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60"/>
        </w:trPr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1021"/>
              <w:ind w:firstLine="0"/>
              <w:jc w:val="center"/>
              <w:spacing w:line="24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г. Москва, 2-й Павелецкий проезд, д.3, стр.2, Департамент организации конкурсных процедур 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ПАО «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 Московский регион»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021"/>
              <w:ind w:firstLine="0"/>
              <w:jc w:val="center"/>
              <w:spacing w:line="242" w:lineRule="auto"/>
              <w:tabs>
                <w:tab w:val="left" w:pos="567" w:leader="none"/>
                <w:tab w:val="left" w:pos="900" w:leader="none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 xml:space="preserve">01.07.2025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1"/>
              <w:ind w:firstLine="0"/>
              <w:jc w:val="center"/>
              <w:spacing w:line="242" w:lineRule="auto"/>
              <w:tabs>
                <w:tab w:val="left" w:pos="567" w:leader="none"/>
                <w:tab w:val="left" w:pos="900" w:leader="none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 xml:space="preserve">01.07.2025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1021"/>
        <w:ind w:firstLine="0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r>
    </w:p>
    <w:p>
      <w:pPr>
        <w:ind w:left="0" w:right="0" w:firstLine="0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В очном заседании Комиссии принимали участие: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150" w:firstLine="0"/>
        <w:jc w:val="both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 xml:space="preserve">Члены Комиссии: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Сахаров А.А. - Заместитель главного инженера – директор департамента информационно-технологических систем и связи ПАО 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Анасенко С.А. – Начальник управления организации технического обслуживания и ремонтов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ПАО «Россети Московский регион»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Голубев Д.В. – Начальник управления мониторинга рынка ТМЦ и расчетов с поставщиками ПАО 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Мауль А.В. – Начальник управления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нормативного регулирования и сопровождения договорной работы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ПАО 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Муравьев Д.П. – Начальник управления комплектации оборудованием ПАО 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Омельяненко А.А. – Начальник управления материально-технического снабжения ПАО 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Светличный Д.А. – Начальник управления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строительного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 надзора ПАО «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Россети Московский регион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Зубков П.С. –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Главный эксперт контрольно-экспертного управления ПАО «Россети Московский регион»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Кремнёв А.С. – Ведущий эксперт управления общей правовой работы ПАО «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Россети Московский регион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150" w:firstLine="0"/>
        <w:jc w:val="both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 xml:space="preserve">Секретарь Комиссии (с правом голоса):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Гусев К.В. – Начальник управления организации конкурсных закупок ПАО «Россети Московский регион».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 xml:space="preserve">СЛУШАЛИ: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Гусева К.В. – Начальника управления организации конкурсных закупок ПАО «Россети Московский регион».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Заочное голосование по опросным листам: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 xml:space="preserve">Заместитель председателя Комиссии: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40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Блажко А.В. – Директор департамента материально-технического снабжения ПАО «Россети Московский регион».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firstLine="0"/>
        <w:spacing w:line="24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0"/>
        <w:spacing w:line="242" w:lineRule="auto"/>
        <w:widowControl w:val="off"/>
        <w:rPr>
          <w:b/>
          <w:bCs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/>
          <w:bCs/>
          <w:sz w:val="24"/>
          <w:szCs w:val="24"/>
          <w:highlight w:val="none"/>
        </w:rPr>
        <w:t xml:space="preserve">В заседании приняли участие 11</w:t>
      </w:r>
      <w:r>
        <w:rPr>
          <w:b/>
          <w:bCs/>
          <w:sz w:val="24"/>
          <w:szCs w:val="24"/>
          <w:highlight w:val="none"/>
        </w:rPr>
        <w:t xml:space="preserve"> из 19 членов Комиссии.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firstLine="0"/>
        <w:spacing w:line="242" w:lineRule="auto"/>
        <w:widowControl w:val="off"/>
        <w:rPr>
          <w:b/>
          <w:bCs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  <w:t xml:space="preserve">Кворум имеется.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pStyle w:val="1017"/>
        <w:jc w:val="both"/>
        <w:spacing w:before="0" w:beforeAutospacing="0" w:after="0" w:afterAutospacing="0" w:line="242" w:lineRule="auto"/>
        <w:shd w:val="clear" w:color="auto" w:fill="ffffff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91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42" w:lineRule="auto"/>
        <w:widowControl w:val="off"/>
        <w:tabs>
          <w:tab w:val="left" w:pos="426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ВОПРОСЫ ЗАСЕДАНИЯ КОМИССИИ: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991"/>
        <w:numPr>
          <w:ilvl w:val="0"/>
          <w:numId w:val="40"/>
        </w:numPr>
        <w:contextualSpacing/>
        <w:ind w:left="0" w:firstLine="0"/>
        <w:keepLines w:val="0"/>
        <w:keepNext w:val="0"/>
        <w:spacing w:before="0" w:after="0" w:line="242" w:lineRule="auto"/>
        <w:widowControl w:val="off"/>
        <w:tabs>
          <w:tab w:val="left" w:pos="284" w:leader="none"/>
          <w:tab w:val="clear" w:pos="567" w:leader="none"/>
        </w:tabs>
        <w:rPr>
          <w:sz w:val="24"/>
          <w:szCs w:val="24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</w:rPr>
        <w:t xml:space="preserve">Об утверждении Документаций о закупке по запросам предложений, Извещений</w:t>
        <w:br/>
        <w:t xml:space="preserve">о проведении запросов предложений, Документаций о закупк</w:t>
      </w:r>
      <w:r>
        <w:rPr>
          <w:rFonts w:ascii="Times New Roman" w:hAnsi="Times New Roman"/>
          <w:b w:val="0"/>
          <w:bCs w:val="0"/>
          <w:sz w:val="24"/>
          <w:szCs w:val="24"/>
          <w:highlight w:val="none"/>
        </w:rPr>
        <w:t xml:space="preserve">е по конкурсам, Извещений</w:t>
        <w:br/>
        <w:t xml:space="preserve">о проведении конкурсов, Извещений </w:t>
      </w:r>
      <w:r>
        <w:rPr>
          <w:rFonts w:ascii="Times New Roman" w:hAnsi="Times New Roman"/>
          <w:b w:val="0"/>
          <w:bCs w:val="0"/>
          <w:sz w:val="24"/>
          <w:szCs w:val="24"/>
          <w:highlight w:val="none"/>
        </w:rPr>
        <w:t xml:space="preserve">о проведении запросов цен, Руководств по экспертной оценке </w:t>
      </w:r>
      <w:r>
        <w:rPr>
          <w:rFonts w:ascii="Times New Roman" w:hAnsi="Times New Roman"/>
          <w:b w:val="0"/>
          <w:bCs w:val="0"/>
          <w:sz w:val="24"/>
          <w:szCs w:val="24"/>
          <w:highlight w:val="none"/>
        </w:rPr>
        <w:t xml:space="preserve">по </w:t>
      </w:r>
      <w:r>
        <w:rPr>
          <w:rFonts w:ascii="Times New Roman" w:hAnsi="Times New Roman"/>
          <w:b w:val="0"/>
          <w:bCs w:val="0"/>
          <w:sz w:val="24"/>
          <w:szCs w:val="24"/>
          <w:highlight w:val="none"/>
        </w:rPr>
        <w:t xml:space="preserve">лотам согласно приложению №1 к настоящему протоколу.</w:t>
      </w:r>
      <w:r>
        <w:rPr>
          <w:rFonts w:ascii="Times New Roman" w:hAnsi="Times New Roman"/>
          <w:sz w:val="24"/>
          <w:szCs w:val="24"/>
          <w:highlight w:val="none"/>
        </w:rPr>
        <w:t xml:space="preserve">     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91"/>
        <w:numPr>
          <w:ilvl w:val="0"/>
          <w:numId w:val="0"/>
        </w:numPr>
        <w:contextualSpacing/>
        <w:keepLines w:val="0"/>
        <w:keepNext w:val="0"/>
        <w:spacing w:before="0" w:after="0" w:line="242" w:lineRule="auto"/>
        <w:widowControl w:val="off"/>
        <w:tabs>
          <w:tab w:val="left" w:pos="284" w:leader="none"/>
        </w:tabs>
        <w:rPr>
          <w:rFonts w:ascii="Times New Roman" w:hAnsi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sz w:val="24"/>
          <w:szCs w:val="24"/>
          <w:highlight w:val="none"/>
        </w:rPr>
      </w:r>
    </w:p>
    <w:p>
      <w:pPr>
        <w:pStyle w:val="991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42" w:lineRule="auto"/>
        <w:widowControl w:val="off"/>
        <w:tabs>
          <w:tab w:val="left" w:pos="426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РЕШИЛИ: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contextualSpacing/>
        <w:ind w:firstLine="0"/>
        <w:spacing w:line="242" w:lineRule="auto"/>
        <w:widowControl w:val="off"/>
        <w:tabs>
          <w:tab w:val="left" w:pos="567" w:leader="none"/>
        </w:tabs>
        <w:rPr>
          <w:sz w:val="24"/>
          <w:szCs w:val="24"/>
          <w:highlight w:val="none"/>
          <w14:ligatures w14:val="none"/>
        </w:rPr>
      </w:pPr>
      <w:r>
        <w:rPr>
          <w:b/>
          <w:sz w:val="24"/>
          <w:szCs w:val="24"/>
          <w:highlight w:val="none"/>
        </w:rPr>
        <w:t xml:space="preserve">1.</w:t>
      </w:r>
      <w:r>
        <w:rPr>
          <w:sz w:val="24"/>
          <w:szCs w:val="24"/>
          <w:highlight w:val="none"/>
        </w:rPr>
        <w:t xml:space="preserve"> Утвердить Документации</w:t>
      </w:r>
      <w:r>
        <w:rPr>
          <w:sz w:val="24"/>
          <w:szCs w:val="24"/>
          <w:highlight w:val="none"/>
        </w:rPr>
        <w:t xml:space="preserve"> о закупке по запросам предложений, Извещения</w:t>
      </w:r>
      <w:r>
        <w:rPr>
          <w:sz w:val="24"/>
          <w:szCs w:val="24"/>
          <w:highlight w:val="none"/>
        </w:rPr>
        <w:t xml:space="preserve"> о проведении запросов предложений, Документации</w:t>
      </w:r>
      <w:r>
        <w:rPr>
          <w:sz w:val="24"/>
          <w:szCs w:val="24"/>
          <w:highlight w:val="none"/>
        </w:rPr>
        <w:t xml:space="preserve"> о закупке по конкурсам, Извещения</w:t>
      </w:r>
      <w:r>
        <w:rPr>
          <w:sz w:val="24"/>
          <w:szCs w:val="24"/>
          <w:highlight w:val="none"/>
        </w:rPr>
        <w:t xml:space="preserve"> о проведении конкурсов, Извещения</w:t>
      </w:r>
      <w:r>
        <w:rPr>
          <w:sz w:val="24"/>
          <w:szCs w:val="24"/>
          <w:highlight w:val="none"/>
        </w:rPr>
        <w:t xml:space="preserve"> о проведении запросов цен, Руководства по экспертной оценке </w:t>
      </w:r>
      <w:r>
        <w:rPr>
          <w:sz w:val="24"/>
          <w:szCs w:val="24"/>
          <w:highlight w:val="none"/>
        </w:rPr>
        <w:t xml:space="preserve">по лотам согласно приложению №1 к настоящему протоколу.  </w:t>
      </w:r>
      <w:r>
        <w:rPr>
          <w:sz w:val="24"/>
          <w:szCs w:val="24"/>
          <w:highlight w:val="none"/>
          <w14:ligatures w14:val="none"/>
        </w:rPr>
      </w:r>
      <w:r>
        <w:rPr>
          <w:sz w:val="24"/>
          <w:szCs w:val="24"/>
          <w:highlight w:val="none"/>
          <w14:ligatures w14:val="none"/>
        </w:rPr>
      </w:r>
    </w:p>
    <w:p>
      <w:pPr>
        <w:contextualSpacing/>
        <w:ind w:firstLine="0"/>
        <w:spacing w:line="242" w:lineRule="auto"/>
        <w:widowControl w:val="off"/>
        <w:tabs>
          <w:tab w:val="left" w:pos="567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91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42" w:lineRule="auto"/>
        <w:widowControl w:val="off"/>
        <w:tabs>
          <w:tab w:val="left" w:pos="426" w:leader="none"/>
        </w:tabs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  <w:t xml:space="preserve">РЕЗУЛЬТАТЫ ГОЛОСОВАНИЯ (в соответствии с опросными листами):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0"/>
        <w:spacing w:line="242" w:lineRule="auto"/>
        <w:widowControl w:val="off"/>
        <w:rPr>
          <w:sz w:val="24"/>
          <w:szCs w:val="24"/>
        </w:rPr>
      </w:pPr>
      <w:r>
        <w:rPr>
          <w:sz w:val="24"/>
          <w:szCs w:val="24"/>
          <w:highlight w:val="none"/>
        </w:rPr>
        <w:t xml:space="preserve">«За</w:t>
      </w:r>
      <w:r>
        <w:rPr>
          <w:sz w:val="24"/>
          <w:szCs w:val="24"/>
          <w:highlight w:val="none"/>
        </w:rPr>
        <w:t xml:space="preserve">»</w:t>
      </w:r>
      <w:r>
        <w:rPr>
          <w:sz w:val="24"/>
          <w:szCs w:val="24"/>
          <w:highlight w:val="none"/>
        </w:rPr>
        <w:t xml:space="preserve"> -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11 </w:t>
      </w:r>
      <w:r>
        <w:rPr>
          <w:sz w:val="24"/>
          <w:szCs w:val="24"/>
          <w:highlight w:val="none"/>
        </w:rPr>
        <w:t xml:space="preserve">(одиннадцать</w:t>
      </w:r>
      <w:r>
        <w:rPr>
          <w:sz w:val="24"/>
          <w:szCs w:val="24"/>
          <w:highlight w:val="none"/>
        </w:rPr>
        <w:t xml:space="preserve">)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ч</w:t>
      </w:r>
      <w:r>
        <w:rPr>
          <w:sz w:val="24"/>
          <w:szCs w:val="24"/>
          <w:highlight w:val="none"/>
        </w:rPr>
        <w:t xml:space="preserve">л</w:t>
      </w:r>
      <w:r>
        <w:rPr>
          <w:sz w:val="24"/>
          <w:szCs w:val="24"/>
          <w:highlight w:val="none"/>
        </w:rPr>
        <w:t xml:space="preserve">е</w:t>
      </w:r>
      <w:r>
        <w:rPr>
          <w:sz w:val="24"/>
          <w:szCs w:val="24"/>
          <w:highlight w:val="none"/>
        </w:rPr>
        <w:t xml:space="preserve">н</w:t>
      </w:r>
      <w:r>
        <w:rPr>
          <w:sz w:val="24"/>
          <w:szCs w:val="24"/>
        </w:rPr>
        <w:t xml:space="preserve">ов Комиссии.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2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«Против» - 0 (ноль) членов Комиссии.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2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«Воздержалось» - 0 (ноль) членов Комиссии.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2" w:lineRule="auto"/>
        <w:widowControl w:val="off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Решение принято единогласно.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04"/>
        <w:contextualSpacing/>
        <w:ind w:left="0"/>
        <w:jc w:val="both"/>
        <w:spacing w:line="242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spacing w:line="242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2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 Перечень закупок к утверждению на Комиссию.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2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91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42" w:lineRule="auto"/>
        <w:widowControl w:val="off"/>
        <w:tabs>
          <w:tab w:val="left" w:pos="42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ПОДПИСИ: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tbl>
      <w:tblPr>
        <w:tblW w:w="9924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701"/>
        <w:gridCol w:w="1984"/>
        <w:gridCol w:w="3404"/>
      </w:tblGrid>
      <w:tr>
        <w:tblPrEx/>
        <w:trPr>
          <w:trHeight w:val="786"/>
        </w:trPr>
        <w:tc>
          <w:tcPr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2" w:lineRule="auto"/>
              <w:widowControl w:val="off"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Заместитель Председателя </w:t>
            </w:r>
            <w:r>
              <w:rPr>
                <w:sz w:val="24"/>
                <w:szCs w:val="24"/>
              </w:rPr>
              <w:t xml:space="preserve">Комиссии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35" w:lineRule="auto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2" w:lineRule="auto"/>
              <w:widowControl w:val="off"/>
              <w:rPr>
                <w:bCs/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Блажко А.В.</w:t>
            </w:r>
            <w:r>
              <w:rPr>
                <w:sz w:val="24"/>
                <w:szCs w:val="24"/>
              </w:rPr>
            </w:r>
          </w:p>
        </w:tc>
        <w:tc>
          <w:tcPr>
            <w:tcW w:w="3404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2" w:lineRule="auto"/>
              <w:widowControl w:val="off"/>
              <w:rPr>
                <w:bCs/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Директор департамента</w:t>
            </w:r>
            <w:r>
              <w:rPr>
                <w:sz w:val="24"/>
                <w:szCs w:val="24"/>
              </w:rPr>
              <w:t xml:space="preserve"> </w:t>
            </w:r>
            <w:hyperlink r:id="rId12" w:tooltip="javascript:void(0);" w:history="1">
              <w:r>
                <w:rPr>
                  <w:sz w:val="24"/>
                  <w:szCs w:val="24"/>
                </w:rPr>
                <w:t xml:space="preserve">материально-технического снабжения</w:t>
              </w:r>
            </w:hyperlink>
            <w:r>
              <w:rPr>
                <w:sz w:val="24"/>
                <w:szCs w:val="24"/>
              </w:rPr>
              <w:t xml:space="preserve"> ПАО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</w:rPr>
              <w:t xml:space="preserve">«Россети Московский регион»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2" w:lineRule="auto"/>
              <w:widowControl w:val="off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Секретарь Комиссии (</w:t>
            </w:r>
            <w:r>
              <w:rPr>
                <w:bCs/>
                <w:sz w:val="24"/>
                <w:szCs w:val="24"/>
              </w:rPr>
              <w:t xml:space="preserve">с правом </w:t>
            </w:r>
            <w:r>
              <w:rPr>
                <w:sz w:val="24"/>
                <w:szCs w:val="24"/>
              </w:rPr>
              <w:t xml:space="preserve">голоса)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2" w:lineRule="auto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2" w:lineRule="auto"/>
              <w:widowControl w:val="off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Гусев К.В.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404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2" w:lineRule="auto"/>
              <w:widowControl w:val="off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управления организации конкурсных закупок ПАО «</w:t>
            </w:r>
            <w:r>
              <w:rPr>
                <w:sz w:val="24"/>
                <w:szCs w:val="24"/>
              </w:rPr>
              <w:t xml:space="preserve">Россети</w:t>
            </w:r>
            <w:r>
              <w:rPr>
                <w:sz w:val="24"/>
                <w:szCs w:val="24"/>
              </w:rPr>
              <w:t xml:space="preserve"> Московский регион»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ind w:firstLine="0"/>
        <w:jc w:val="left"/>
        <w:spacing w:line="242" w:lineRule="auto"/>
        <w:widowControl w:val="off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2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Исп. </w:t>
      </w:r>
      <w:r>
        <w:rPr>
          <w:sz w:val="24"/>
          <w:szCs w:val="24"/>
        </w:rPr>
        <w:t xml:space="preserve">Федотычева</w:t>
      </w:r>
      <w:r>
        <w:rPr>
          <w:sz w:val="24"/>
          <w:szCs w:val="24"/>
        </w:rPr>
        <w:t xml:space="preserve"> В. С.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0"/>
        <w:jc w:val="left"/>
        <w:spacing w:line="242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bookmarkStart w:id="0" w:name="_GoBack"/>
      <w:r>
        <w:rPr>
          <w:sz w:val="24"/>
          <w:szCs w:val="24"/>
        </w:rPr>
      </w:r>
      <w:bookmarkEnd w:id="0"/>
      <w:r>
        <w:rPr>
          <w:sz w:val="24"/>
          <w:szCs w:val="24"/>
        </w:rPr>
        <w:t xml:space="preserve">+7 (495) 662-40-70 (доб. 47-16)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567" w:right="851" w:bottom="567" w:left="1134" w:header="0" w:footer="283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1"/>
      <w:numPr>
        <w:ilvl w:val="0"/>
        <w:numId w:val="0"/>
      </w:numPr>
      <w:contextualSpacing/>
      <w:jc w:val="center"/>
      <w:keepLines w:val="0"/>
      <w:keepNext w:val="0"/>
      <w:spacing w:before="0" w:after="0" w:line="242" w:lineRule="auto"/>
      <w:widowControl w:val="off"/>
      <w:rPr>
        <w:rFonts w:ascii="Times New Roman" w:hAnsi="Times New Roman"/>
        <w:sz w:val="24"/>
        <w:szCs w:val="24"/>
        <w:highlight w:val="yellow"/>
      </w:rPr>
    </w:pPr>
    <w:r>
      <w:rPr>
        <w:rFonts w:ascii="Times New Roman" w:hAnsi="Times New Roman"/>
        <w:sz w:val="16"/>
        <w:szCs w:val="16"/>
      </w:rPr>
      <w:t xml:space="preserve">Протокол № РМР/</w:t>
    </w:r>
    <w:r>
      <w:rPr>
        <w:rFonts w:ascii="Times New Roman" w:hAnsi="Times New Roman"/>
        <w:sz w:val="16"/>
        <w:szCs w:val="16"/>
      </w:rPr>
      <w:t xml:space="preserve">2746</w:t>
    </w:r>
    <w:r>
      <w:rPr>
        <w:rFonts w:ascii="Times New Roman" w:hAnsi="Times New Roman"/>
        <w:sz w:val="16"/>
        <w:szCs w:val="16"/>
        <w:highlight w:val="yellow"/>
      </w:rPr>
    </w:r>
    <w:r>
      <w:rPr>
        <w:rFonts w:ascii="Times New Roman" w:hAnsi="Times New Roman"/>
        <w:sz w:val="16"/>
        <w:szCs w:val="16"/>
        <w:highlight w:val="yellow"/>
      </w:rPr>
    </w:r>
  </w:p>
  <w:p>
    <w:pPr>
      <w:pStyle w:val="991"/>
      <w:numPr>
        <w:ilvl w:val="0"/>
        <w:numId w:val="0"/>
      </w:numPr>
      <w:contextualSpacing/>
      <w:jc w:val="center"/>
      <w:keepLines w:val="0"/>
      <w:keepNext w:val="0"/>
      <w:spacing w:before="0" w:after="0" w:line="242" w:lineRule="auto"/>
      <w:widowControl w:val="off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16"/>
        <w:szCs w:val="16"/>
        <w:highlight w:val="none"/>
      </w:rPr>
      <w:t xml:space="preserve">о</w:t>
    </w:r>
    <w:r>
      <w:rPr>
        <w:rFonts w:ascii="Times New Roman" w:hAnsi="Times New Roman"/>
        <w:sz w:val="16"/>
        <w:szCs w:val="16"/>
        <w:highlight w:val="none"/>
      </w:rPr>
      <w:t xml:space="preserve">чно</w:t>
    </w:r>
    <w:r>
      <w:rPr>
        <w:rFonts w:ascii="Times New Roman" w:hAnsi="Times New Roman"/>
        <w:sz w:val="16"/>
        <w:szCs w:val="16"/>
        <w:highlight w:val="none"/>
      </w:rPr>
      <w:t xml:space="preserve">-</w:t>
    </w:r>
    <w:r>
      <w:rPr>
        <w:rFonts w:ascii="Times New Roman" w:hAnsi="Times New Roman"/>
        <w:sz w:val="16"/>
        <w:szCs w:val="16"/>
        <w:highlight w:val="none"/>
      </w:rPr>
      <w:t xml:space="preserve">з</w:t>
    </w:r>
    <w:r>
      <w:rPr>
        <w:rFonts w:ascii="Times New Roman" w:hAnsi="Times New Roman"/>
        <w:sz w:val="16"/>
        <w:szCs w:val="16"/>
        <w:highlight w:val="none"/>
      </w:rPr>
      <w:t xml:space="preserve">а</w:t>
    </w:r>
    <w:r>
      <w:rPr>
        <w:rFonts w:ascii="Times New Roman" w:hAnsi="Times New Roman"/>
        <w:sz w:val="16"/>
        <w:szCs w:val="16"/>
        <w:highlight w:val="none"/>
      </w:rPr>
      <w:t xml:space="preserve">о</w:t>
    </w:r>
    <w:r>
      <w:rPr>
        <w:rFonts w:ascii="Times New Roman" w:hAnsi="Times New Roman"/>
        <w:sz w:val="16"/>
        <w:szCs w:val="16"/>
        <w:highlight w:val="none"/>
      </w:rPr>
      <w:t xml:space="preserve">ч</w:t>
    </w:r>
    <w:r>
      <w:rPr>
        <w:rFonts w:ascii="Times New Roman" w:hAnsi="Times New Roman"/>
        <w:sz w:val="16"/>
        <w:szCs w:val="16"/>
        <w:highlight w:val="none"/>
      </w:rPr>
      <w:t xml:space="preserve">н</w:t>
    </w:r>
    <w:r>
      <w:rPr>
        <w:rFonts w:ascii="Times New Roman" w:hAnsi="Times New Roman"/>
        <w:sz w:val="16"/>
        <w:szCs w:val="16"/>
        <w:highlight w:val="none"/>
      </w:rPr>
      <w:t xml:space="preserve">о</w:t>
    </w:r>
    <w:r>
      <w:rPr>
        <w:rFonts w:ascii="Times New Roman" w:hAnsi="Times New Roman"/>
        <w:sz w:val="16"/>
        <w:szCs w:val="16"/>
        <w:highlight w:val="none"/>
      </w:rPr>
      <w:t xml:space="preserve">г</w:t>
    </w:r>
    <w:r>
      <w:rPr>
        <w:rFonts w:ascii="Times New Roman" w:hAnsi="Times New Roman"/>
        <w:sz w:val="16"/>
        <w:szCs w:val="16"/>
        <w:highlight w:val="none"/>
      </w:rPr>
      <w:t xml:space="preserve">о</w:t>
    </w:r>
    <w:r>
      <w:rPr>
        <w:rFonts w:ascii="Times New Roman" w:hAnsi="Times New Roman"/>
        <w:sz w:val="16"/>
        <w:szCs w:val="16"/>
        <w:highlight w:val="none"/>
      </w:rPr>
      <w:t xml:space="preserve"> </w:t>
    </w:r>
    <w:r>
      <w:rPr>
        <w:rFonts w:ascii="Times New Roman" w:hAnsi="Times New Roman"/>
        <w:sz w:val="16"/>
        <w:szCs w:val="16"/>
        <w:highlight w:val="none"/>
      </w:rPr>
      <w:t xml:space="preserve">з</w:t>
    </w:r>
    <w:r>
      <w:rPr>
        <w:rFonts w:ascii="Times New Roman" w:hAnsi="Times New Roman"/>
        <w:sz w:val="16"/>
        <w:szCs w:val="16"/>
        <w:highlight w:val="none"/>
      </w:rPr>
      <w:t xml:space="preserve">а</w:t>
    </w:r>
    <w:r>
      <w:rPr>
        <w:rFonts w:ascii="Times New Roman" w:hAnsi="Times New Roman"/>
        <w:sz w:val="16"/>
        <w:szCs w:val="16"/>
        <w:highlight w:val="none"/>
      </w:rPr>
      <w:t xml:space="preserve">с</w:t>
    </w:r>
    <w:r>
      <w:rPr>
        <w:rFonts w:ascii="Times New Roman" w:hAnsi="Times New Roman"/>
        <w:sz w:val="16"/>
        <w:szCs w:val="16"/>
        <w:highlight w:val="none"/>
      </w:rPr>
      <w:t xml:space="preserve">е</w:t>
    </w:r>
    <w:r>
      <w:rPr>
        <w:rFonts w:ascii="Times New Roman" w:hAnsi="Times New Roman"/>
        <w:sz w:val="16"/>
        <w:szCs w:val="16"/>
        <w:highlight w:val="none"/>
      </w:rPr>
      <w:t xml:space="preserve">д</w:t>
    </w:r>
    <w:r>
      <w:rPr>
        <w:rFonts w:ascii="Times New Roman" w:hAnsi="Times New Roman"/>
        <w:sz w:val="16"/>
        <w:szCs w:val="16"/>
      </w:rPr>
      <w:t xml:space="preserve">ания Постоянно действующей конкурсной комиссии (далее Комиссия)</w:t>
    </w:r>
    <w:r>
      <w:rPr>
        <w:rFonts w:ascii="Times New Roman" w:hAnsi="Times New Roman"/>
        <w:sz w:val="16"/>
        <w:szCs w:val="16"/>
      </w:rPr>
    </w:r>
    <w:r>
      <w:rPr>
        <w:rFonts w:ascii="Times New Roman" w:hAnsi="Times New Roman"/>
        <w:sz w:val="16"/>
        <w:szCs w:val="16"/>
      </w:rPr>
    </w:r>
  </w:p>
  <w:p>
    <w:pPr>
      <w:pStyle w:val="991"/>
      <w:numPr>
        <w:ilvl w:val="0"/>
        <w:numId w:val="0"/>
      </w:numPr>
      <w:contextualSpacing/>
      <w:jc w:val="center"/>
      <w:keepLines w:val="0"/>
      <w:keepNext w:val="0"/>
      <w:spacing w:before="0" w:after="0" w:line="240" w:lineRule="auto"/>
      <w:widowControl w:val="off"/>
      <w:rPr>
        <w:rFonts w:ascii="Times New Roman" w:hAnsi="Times New Roman"/>
        <w:sz w:val="16"/>
        <w:szCs w:val="16"/>
        <w:highlight w:val="yellow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>
      <w:rPr>
        <w:rFonts w:ascii="Times New Roman" w:hAnsi="Times New Roman"/>
        <w:sz w:val="16"/>
        <w:szCs w:val="16"/>
      </w:rPr>
      <w:t xml:space="preserve">по утверждению Документаций о закупке по запросам предложений, Извещений</w:t>
      <w:br/>
      <w:t xml:space="preserve">о проведении запросов предложений, Документаций о закупке по конкурсам</w:t>
    </w:r>
    <w:r>
      <w:rPr>
        <w:rFonts w:ascii="Times New Roman" w:hAnsi="Times New Roman"/>
        <w:sz w:val="16"/>
        <w:szCs w:val="16"/>
      </w:rPr>
      <w:t xml:space="preserve">, Извещений</w:t>
      <w:br/>
      <w:t xml:space="preserve">о проведении конкурсов, Извещений </w:t>
    </w:r>
    <w:r>
      <w:rPr>
        <w:rFonts w:ascii="Times New Roman" w:hAnsi="Times New Roman"/>
        <w:sz w:val="16"/>
        <w:szCs w:val="16"/>
      </w:rPr>
      <w:t xml:space="preserve">о проведении запросов цен,</w:t>
      <w:br/>
      <w:t xml:space="preserve">Руководств по экспертной оценке</w:t>
    </w:r>
    <w:r>
      <w:rPr>
        <w:rFonts w:ascii="Times New Roman" w:hAnsi="Times New Roman"/>
        <w:sz w:val="16"/>
        <w:szCs w:val="16"/>
        <w:highlight w:val="none"/>
      </w:rPr>
    </w:r>
    <w:r>
      <w:rPr>
        <w:rFonts w:ascii="Times New Roman" w:hAnsi="Times New Roman"/>
        <w:sz w:val="16"/>
        <w:szCs w:val="16"/>
        <w:highlight w:val="yellow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8"/>
      <w:rPr>
        <w:rStyle w:val="993"/>
      </w:rPr>
      <w:framePr w:wrap="around" w:vAnchor="text" w:hAnchor="margin" w:xAlign="right" w:y="1"/>
    </w:pPr>
    <w:r>
      <w:rPr>
        <w:rStyle w:val="993"/>
      </w:rPr>
      <w:fldChar w:fldCharType="begin"/>
    </w:r>
    <w:r>
      <w:rPr>
        <w:rStyle w:val="993"/>
      </w:rPr>
      <w:instrText xml:space="preserve">PAGE  </w:instrText>
    </w:r>
    <w:r>
      <w:rPr>
        <w:rStyle w:val="993"/>
      </w:rPr>
      <w:fldChar w:fldCharType="end"/>
    </w:r>
    <w:r>
      <w:rPr>
        <w:rStyle w:val="993"/>
      </w:rPr>
    </w:r>
    <w:r>
      <w:rPr>
        <w:rStyle w:val="993"/>
      </w:rPr>
    </w:r>
  </w:p>
  <w:p>
    <w:pPr>
      <w:pStyle w:val="838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7" w:hanging="360"/>
        <w:tabs>
          <w:tab w:val="num" w:pos="41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37" w:hanging="360"/>
        <w:tabs>
          <w:tab w:val="num" w:pos="113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57" w:hanging="180"/>
        <w:tabs>
          <w:tab w:val="num" w:pos="185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77" w:hanging="360"/>
        <w:tabs>
          <w:tab w:val="num" w:pos="257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97" w:hanging="360"/>
        <w:tabs>
          <w:tab w:val="num" w:pos="329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17" w:hanging="180"/>
        <w:tabs>
          <w:tab w:val="num" w:pos="401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37" w:hanging="360"/>
        <w:tabs>
          <w:tab w:val="num" w:pos="473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57" w:hanging="360"/>
        <w:tabs>
          <w:tab w:val="num" w:pos="545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77" w:hanging="180"/>
        <w:tabs>
          <w:tab w:val="num" w:pos="6177" w:leader="none"/>
        </w:tabs>
      </w:p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65" w:hanging="360"/>
        <w:tabs>
          <w:tab w:val="num" w:pos="4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85" w:hanging="360"/>
        <w:tabs>
          <w:tab w:val="num" w:pos="11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05" w:hanging="180"/>
        <w:tabs>
          <w:tab w:val="num" w:pos="19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25" w:hanging="360"/>
        <w:tabs>
          <w:tab w:val="num" w:pos="26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45" w:hanging="360"/>
        <w:tabs>
          <w:tab w:val="num" w:pos="33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65" w:hanging="180"/>
        <w:tabs>
          <w:tab w:val="num" w:pos="40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85" w:hanging="360"/>
        <w:tabs>
          <w:tab w:val="num" w:pos="47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05" w:hanging="360"/>
        <w:tabs>
          <w:tab w:val="num" w:pos="55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25" w:hanging="180"/>
        <w:tabs>
          <w:tab w:val="num" w:pos="6225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360"/>
        <w:tabs>
          <w:tab w:val="num" w:pos="5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260" w:hanging="360"/>
        <w:tabs>
          <w:tab w:val="num" w:pos="12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80" w:hanging="18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700" w:hanging="360"/>
        <w:tabs>
          <w:tab w:val="num" w:pos="27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420" w:hanging="360"/>
        <w:tabs>
          <w:tab w:val="num" w:pos="34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140" w:hanging="18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60" w:hanging="360"/>
        <w:tabs>
          <w:tab w:val="num" w:pos="48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80" w:hanging="360"/>
        <w:tabs>
          <w:tab w:val="num" w:pos="55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300" w:hanging="180"/>
        <w:tabs>
          <w:tab w:val="num" w:pos="630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5">
    <w:multiLevelType w:val="hybridMultilevel"/>
    <w:lvl w:ilvl="0">
      <w:start w:val="1"/>
      <w:numFmt w:val="decimal"/>
      <w:pStyle w:val="1003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pStyle w:val="991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pStyle w:val="987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</w:lvl>
    <w:lvl w:ilvl="3">
      <w:start w:val="1"/>
      <w:numFmt w:val="decimal"/>
      <w:pStyle w:val="988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862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  <w:rPr>
        <w:sz w:val="19"/>
        <w:szCs w:val="19"/>
      </w:r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720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65" w:hanging="360"/>
        <w:tabs>
          <w:tab w:val="num" w:pos="4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85" w:hanging="360"/>
        <w:tabs>
          <w:tab w:val="num" w:pos="11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05" w:hanging="180"/>
        <w:tabs>
          <w:tab w:val="num" w:pos="19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25" w:hanging="360"/>
        <w:tabs>
          <w:tab w:val="num" w:pos="26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45" w:hanging="360"/>
        <w:tabs>
          <w:tab w:val="num" w:pos="33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65" w:hanging="180"/>
        <w:tabs>
          <w:tab w:val="num" w:pos="40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85" w:hanging="360"/>
        <w:tabs>
          <w:tab w:val="num" w:pos="47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05" w:hanging="360"/>
        <w:tabs>
          <w:tab w:val="num" w:pos="55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25" w:hanging="180"/>
        <w:tabs>
          <w:tab w:val="num" w:pos="6225" w:leader="none"/>
        </w:tabs>
      </w:pPr>
    </w:lvl>
  </w:abstractNum>
  <w:abstractNum w:abstractNumId="2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134" w:hanging="567"/>
        <w:tabs>
          <w:tab w:val="num" w:pos="1134" w:leader="none"/>
        </w:tabs>
      </w:pPr>
    </w:lvl>
    <w:lvl w:ilvl="1">
      <w:start w:val="1"/>
      <w:numFmt w:val="upperRoman"/>
      <w:isLgl w:val="false"/>
      <w:suff w:val="tab"/>
      <w:lvlText w:val="%2."/>
      <w:lvlJc w:val="left"/>
      <w:pPr>
        <w:ind w:left="1134" w:hanging="567"/>
        <w:tabs>
          <w:tab w:val="num" w:pos="1134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23"/>
  </w:num>
  <w:num w:numId="13">
    <w:abstractNumId w:val="19"/>
  </w:num>
  <w:num w:numId="14">
    <w:abstractNumId w:val="0"/>
  </w:num>
  <w:num w:numId="15">
    <w:abstractNumId w:val="22"/>
  </w:num>
  <w:num w:numId="16">
    <w:abstractNumId w:val="1"/>
  </w:num>
  <w:num w:numId="17">
    <w:abstractNumId w:val="18"/>
  </w:num>
  <w:num w:numId="18">
    <w:abstractNumId w:val="28"/>
  </w:num>
  <w:num w:numId="19">
    <w:abstractNumId w:val="20"/>
  </w:num>
  <w:num w:numId="20">
    <w:abstractNumId w:val="16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21"/>
  </w:num>
  <w:num w:numId="27">
    <w:abstractNumId w:val="9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24"/>
  </w:num>
  <w:num w:numId="33">
    <w:abstractNumId w:val="13"/>
  </w:num>
  <w:num w:numId="34">
    <w:abstractNumId w:val="31"/>
  </w:num>
  <w:num w:numId="35">
    <w:abstractNumId w:val="2"/>
  </w:num>
  <w:num w:numId="36">
    <w:abstractNumId w:val="10"/>
  </w:num>
  <w:num w:numId="37">
    <w:abstractNumId w:val="7"/>
  </w:num>
  <w:num w:numId="38">
    <w:abstractNumId w:val="17"/>
  </w:num>
  <w:num w:numId="39">
    <w:abstractNumId w:val="25"/>
  </w:num>
  <w:num w:numId="40">
    <w:abstractNumId w:val="15"/>
  </w:num>
  <w:num w:numId="41">
    <w:abstractNumId w:val="8"/>
  </w:num>
  <w:num w:numId="42">
    <w:abstractNumId w:val="14"/>
  </w:num>
  <w:num w:numId="43">
    <w:abstractNumId w:val="12"/>
  </w:num>
  <w:num w:numId="44">
    <w:abstractNumId w:val="8"/>
  </w:num>
  <w:num w:numId="45">
    <w:abstractNumId w:val="8"/>
  </w:num>
  <w:num w:numId="46">
    <w:abstractNumId w:val="11"/>
  </w:num>
  <w:num w:numId="4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88">
    <w:name w:val="Heading 1 Char"/>
    <w:basedOn w:val="814"/>
    <w:link w:val="805"/>
    <w:uiPriority w:val="9"/>
    <w:rPr>
      <w:rFonts w:ascii="Arial" w:hAnsi="Arial" w:eastAsia="Arial" w:cs="Arial"/>
      <w:sz w:val="40"/>
      <w:szCs w:val="40"/>
    </w:rPr>
  </w:style>
  <w:style w:type="character" w:styleId="789">
    <w:name w:val="Heading 2 Char"/>
    <w:basedOn w:val="814"/>
    <w:link w:val="806"/>
    <w:uiPriority w:val="9"/>
    <w:rPr>
      <w:rFonts w:ascii="Arial" w:hAnsi="Arial" w:eastAsia="Arial" w:cs="Arial"/>
      <w:sz w:val="34"/>
    </w:rPr>
  </w:style>
  <w:style w:type="character" w:styleId="790">
    <w:name w:val="Heading 3 Char"/>
    <w:basedOn w:val="814"/>
    <w:link w:val="807"/>
    <w:uiPriority w:val="9"/>
    <w:rPr>
      <w:rFonts w:ascii="Arial" w:hAnsi="Arial" w:eastAsia="Arial" w:cs="Arial"/>
      <w:sz w:val="30"/>
      <w:szCs w:val="30"/>
    </w:rPr>
  </w:style>
  <w:style w:type="character" w:styleId="791">
    <w:name w:val="Heading 4 Char"/>
    <w:basedOn w:val="814"/>
    <w:link w:val="808"/>
    <w:uiPriority w:val="9"/>
    <w:rPr>
      <w:rFonts w:ascii="Arial" w:hAnsi="Arial" w:eastAsia="Arial" w:cs="Arial"/>
      <w:b/>
      <w:bCs/>
      <w:sz w:val="26"/>
      <w:szCs w:val="26"/>
    </w:rPr>
  </w:style>
  <w:style w:type="character" w:styleId="792">
    <w:name w:val="Heading 5 Char"/>
    <w:basedOn w:val="814"/>
    <w:link w:val="809"/>
    <w:uiPriority w:val="9"/>
    <w:rPr>
      <w:rFonts w:ascii="Arial" w:hAnsi="Arial" w:eastAsia="Arial" w:cs="Arial"/>
      <w:b/>
      <w:bCs/>
      <w:sz w:val="24"/>
      <w:szCs w:val="24"/>
    </w:rPr>
  </w:style>
  <w:style w:type="character" w:styleId="793">
    <w:name w:val="Heading 6 Char"/>
    <w:basedOn w:val="814"/>
    <w:link w:val="810"/>
    <w:uiPriority w:val="9"/>
    <w:rPr>
      <w:rFonts w:ascii="Arial" w:hAnsi="Arial" w:eastAsia="Arial" w:cs="Arial"/>
      <w:b/>
      <w:bCs/>
      <w:sz w:val="22"/>
      <w:szCs w:val="22"/>
    </w:rPr>
  </w:style>
  <w:style w:type="character" w:styleId="794">
    <w:name w:val="Heading 7 Char"/>
    <w:basedOn w:val="814"/>
    <w:link w:val="81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5">
    <w:name w:val="Heading 8 Char"/>
    <w:basedOn w:val="814"/>
    <w:link w:val="812"/>
    <w:uiPriority w:val="9"/>
    <w:rPr>
      <w:rFonts w:ascii="Arial" w:hAnsi="Arial" w:eastAsia="Arial" w:cs="Arial"/>
      <w:i/>
      <w:iCs/>
      <w:sz w:val="22"/>
      <w:szCs w:val="22"/>
    </w:rPr>
  </w:style>
  <w:style w:type="character" w:styleId="796">
    <w:name w:val="Heading 9 Char"/>
    <w:basedOn w:val="814"/>
    <w:link w:val="813"/>
    <w:uiPriority w:val="9"/>
    <w:rPr>
      <w:rFonts w:ascii="Arial" w:hAnsi="Arial" w:eastAsia="Arial" w:cs="Arial"/>
      <w:i/>
      <w:iCs/>
      <w:sz w:val="21"/>
      <w:szCs w:val="21"/>
    </w:rPr>
  </w:style>
  <w:style w:type="character" w:styleId="797">
    <w:name w:val="Title Char"/>
    <w:basedOn w:val="814"/>
    <w:link w:val="828"/>
    <w:uiPriority w:val="10"/>
    <w:rPr>
      <w:sz w:val="48"/>
      <w:szCs w:val="48"/>
    </w:rPr>
  </w:style>
  <w:style w:type="character" w:styleId="798">
    <w:name w:val="Subtitle Char"/>
    <w:basedOn w:val="814"/>
    <w:link w:val="830"/>
    <w:uiPriority w:val="11"/>
    <w:rPr>
      <w:sz w:val="24"/>
      <w:szCs w:val="24"/>
    </w:rPr>
  </w:style>
  <w:style w:type="character" w:styleId="799">
    <w:name w:val="Quote Char"/>
    <w:link w:val="832"/>
    <w:uiPriority w:val="29"/>
    <w:rPr>
      <w:i/>
    </w:rPr>
  </w:style>
  <w:style w:type="character" w:styleId="800">
    <w:name w:val="Intense Quote Char"/>
    <w:link w:val="834"/>
    <w:uiPriority w:val="30"/>
    <w:rPr>
      <w:i/>
    </w:rPr>
  </w:style>
  <w:style w:type="character" w:styleId="801">
    <w:name w:val="Caption Char"/>
    <w:basedOn w:val="814"/>
    <w:link w:val="840"/>
    <w:uiPriority w:val="35"/>
    <w:rPr>
      <w:b/>
      <w:bCs/>
      <w:color w:val="4f81bd" w:themeColor="accent1"/>
      <w:sz w:val="18"/>
      <w:szCs w:val="18"/>
    </w:rPr>
  </w:style>
  <w:style w:type="character" w:styleId="802">
    <w:name w:val="Footnote Text Char"/>
    <w:link w:val="969"/>
    <w:uiPriority w:val="99"/>
    <w:rPr>
      <w:sz w:val="18"/>
    </w:rPr>
  </w:style>
  <w:style w:type="character" w:styleId="803">
    <w:name w:val="Endnote Text Char"/>
    <w:link w:val="972"/>
    <w:uiPriority w:val="99"/>
    <w:rPr>
      <w:sz w:val="20"/>
    </w:rPr>
  </w:style>
  <w:style w:type="paragraph" w:styleId="804" w:default="1">
    <w:name w:val="Normal"/>
    <w:qFormat/>
    <w:pPr>
      <w:ind w:firstLine="567"/>
      <w:jc w:val="both"/>
      <w:spacing w:line="360" w:lineRule="auto"/>
    </w:pPr>
    <w:rPr>
      <w:sz w:val="28"/>
    </w:rPr>
  </w:style>
  <w:style w:type="paragraph" w:styleId="805">
    <w:name w:val="Heading 1"/>
    <w:basedOn w:val="804"/>
    <w:next w:val="804"/>
    <w:link w:val="817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06">
    <w:name w:val="Heading 2"/>
    <w:basedOn w:val="804"/>
    <w:next w:val="804"/>
    <w:link w:val="81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07">
    <w:name w:val="Heading 3"/>
    <w:basedOn w:val="804"/>
    <w:next w:val="804"/>
    <w:link w:val="81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08">
    <w:name w:val="Heading 4"/>
    <w:basedOn w:val="804"/>
    <w:next w:val="804"/>
    <w:link w:val="8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09">
    <w:name w:val="Heading 5"/>
    <w:basedOn w:val="804"/>
    <w:next w:val="804"/>
    <w:link w:val="8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10">
    <w:name w:val="Heading 6"/>
    <w:basedOn w:val="804"/>
    <w:next w:val="804"/>
    <w:link w:val="82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11">
    <w:name w:val="Heading 7"/>
    <w:basedOn w:val="804"/>
    <w:next w:val="804"/>
    <w:link w:val="82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12">
    <w:name w:val="Heading 8"/>
    <w:basedOn w:val="804"/>
    <w:next w:val="804"/>
    <w:link w:val="82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13">
    <w:name w:val="Heading 9"/>
    <w:basedOn w:val="804"/>
    <w:next w:val="804"/>
    <w:link w:val="82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14" w:default="1">
    <w:name w:val="Default Paragraph Font"/>
    <w:uiPriority w:val="1"/>
    <w:semiHidden/>
    <w:unhideWhenUsed/>
  </w:style>
  <w:style w:type="table" w:styleId="81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6" w:default="1">
    <w:name w:val="No List"/>
    <w:uiPriority w:val="99"/>
    <w:semiHidden/>
    <w:unhideWhenUsed/>
  </w:style>
  <w:style w:type="character" w:styleId="817" w:customStyle="1">
    <w:name w:val="Заголовок 1 Знак"/>
    <w:link w:val="805"/>
    <w:uiPriority w:val="9"/>
    <w:rPr>
      <w:rFonts w:ascii="Arial" w:hAnsi="Arial" w:eastAsia="Arial" w:cs="Arial"/>
      <w:sz w:val="40"/>
      <w:szCs w:val="40"/>
    </w:rPr>
  </w:style>
  <w:style w:type="character" w:styleId="818" w:customStyle="1">
    <w:name w:val="Заголовок 2 Знак"/>
    <w:link w:val="806"/>
    <w:uiPriority w:val="9"/>
    <w:rPr>
      <w:rFonts w:ascii="Arial" w:hAnsi="Arial" w:eastAsia="Arial" w:cs="Arial"/>
      <w:sz w:val="34"/>
    </w:rPr>
  </w:style>
  <w:style w:type="character" w:styleId="819" w:customStyle="1">
    <w:name w:val="Заголовок 3 Знак"/>
    <w:link w:val="807"/>
    <w:uiPriority w:val="9"/>
    <w:rPr>
      <w:rFonts w:ascii="Arial" w:hAnsi="Arial" w:eastAsia="Arial" w:cs="Arial"/>
      <w:sz w:val="30"/>
      <w:szCs w:val="30"/>
    </w:rPr>
  </w:style>
  <w:style w:type="character" w:styleId="820" w:customStyle="1">
    <w:name w:val="Заголовок 4 Знак"/>
    <w:link w:val="808"/>
    <w:uiPriority w:val="9"/>
    <w:rPr>
      <w:rFonts w:ascii="Arial" w:hAnsi="Arial" w:eastAsia="Arial" w:cs="Arial"/>
      <w:b/>
      <w:bCs/>
      <w:sz w:val="26"/>
      <w:szCs w:val="26"/>
    </w:rPr>
  </w:style>
  <w:style w:type="character" w:styleId="821" w:customStyle="1">
    <w:name w:val="Заголовок 5 Знак"/>
    <w:link w:val="809"/>
    <w:uiPriority w:val="9"/>
    <w:rPr>
      <w:rFonts w:ascii="Arial" w:hAnsi="Arial" w:eastAsia="Arial" w:cs="Arial"/>
      <w:b/>
      <w:bCs/>
      <w:sz w:val="24"/>
      <w:szCs w:val="24"/>
    </w:rPr>
  </w:style>
  <w:style w:type="character" w:styleId="822" w:customStyle="1">
    <w:name w:val="Заголовок 6 Знак"/>
    <w:link w:val="810"/>
    <w:uiPriority w:val="9"/>
    <w:rPr>
      <w:rFonts w:ascii="Arial" w:hAnsi="Arial" w:eastAsia="Arial" w:cs="Arial"/>
      <w:b/>
      <w:bCs/>
      <w:sz w:val="22"/>
      <w:szCs w:val="22"/>
    </w:rPr>
  </w:style>
  <w:style w:type="character" w:styleId="823" w:customStyle="1">
    <w:name w:val="Заголовок 7 Знак"/>
    <w:link w:val="81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4" w:customStyle="1">
    <w:name w:val="Заголовок 8 Знак"/>
    <w:link w:val="812"/>
    <w:uiPriority w:val="9"/>
    <w:rPr>
      <w:rFonts w:ascii="Arial" w:hAnsi="Arial" w:eastAsia="Arial" w:cs="Arial"/>
      <w:i/>
      <w:iCs/>
      <w:sz w:val="22"/>
      <w:szCs w:val="22"/>
    </w:rPr>
  </w:style>
  <w:style w:type="character" w:styleId="825" w:customStyle="1">
    <w:name w:val="Заголовок 9 Знак"/>
    <w:link w:val="813"/>
    <w:uiPriority w:val="9"/>
    <w:rPr>
      <w:rFonts w:ascii="Arial" w:hAnsi="Arial" w:eastAsia="Arial" w:cs="Arial"/>
      <w:i/>
      <w:iCs/>
      <w:sz w:val="21"/>
      <w:szCs w:val="21"/>
    </w:rPr>
  </w:style>
  <w:style w:type="paragraph" w:styleId="826">
    <w:name w:val="List Paragraph"/>
    <w:basedOn w:val="804"/>
    <w:uiPriority w:val="34"/>
    <w:qFormat/>
    <w:pPr>
      <w:contextualSpacing/>
      <w:ind w:left="720"/>
    </w:pPr>
  </w:style>
  <w:style w:type="paragraph" w:styleId="827">
    <w:name w:val="No Spacing"/>
    <w:uiPriority w:val="1"/>
    <w:qFormat/>
    <w:rPr>
      <w:rFonts w:ascii="Calibri" w:hAnsi="Calibri"/>
      <w:sz w:val="22"/>
      <w:szCs w:val="22"/>
    </w:rPr>
  </w:style>
  <w:style w:type="paragraph" w:styleId="828">
    <w:name w:val="Title"/>
    <w:basedOn w:val="804"/>
    <w:next w:val="804"/>
    <w:link w:val="82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29" w:customStyle="1">
    <w:name w:val="Название Знак"/>
    <w:link w:val="828"/>
    <w:uiPriority w:val="10"/>
    <w:rPr>
      <w:sz w:val="48"/>
      <w:szCs w:val="48"/>
    </w:rPr>
  </w:style>
  <w:style w:type="paragraph" w:styleId="830">
    <w:name w:val="Subtitle"/>
    <w:basedOn w:val="804"/>
    <w:next w:val="804"/>
    <w:link w:val="831"/>
    <w:uiPriority w:val="11"/>
    <w:qFormat/>
    <w:pPr>
      <w:spacing w:before="200" w:after="200"/>
    </w:pPr>
    <w:rPr>
      <w:sz w:val="24"/>
      <w:szCs w:val="24"/>
    </w:rPr>
  </w:style>
  <w:style w:type="character" w:styleId="831" w:customStyle="1">
    <w:name w:val="Подзаголовок Знак"/>
    <w:link w:val="830"/>
    <w:uiPriority w:val="11"/>
    <w:rPr>
      <w:sz w:val="24"/>
      <w:szCs w:val="24"/>
    </w:rPr>
  </w:style>
  <w:style w:type="paragraph" w:styleId="832">
    <w:name w:val="Quote"/>
    <w:basedOn w:val="804"/>
    <w:next w:val="804"/>
    <w:link w:val="833"/>
    <w:uiPriority w:val="29"/>
    <w:qFormat/>
    <w:pPr>
      <w:ind w:left="720" w:right="720"/>
    </w:pPr>
    <w:rPr>
      <w:i/>
    </w:rPr>
  </w:style>
  <w:style w:type="character" w:styleId="833" w:customStyle="1">
    <w:name w:val="Цитата 2 Знак"/>
    <w:link w:val="832"/>
    <w:uiPriority w:val="29"/>
    <w:rPr>
      <w:i/>
    </w:rPr>
  </w:style>
  <w:style w:type="paragraph" w:styleId="834">
    <w:name w:val="Intense Quote"/>
    <w:basedOn w:val="804"/>
    <w:next w:val="804"/>
    <w:link w:val="83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35" w:customStyle="1">
    <w:name w:val="Выделенная цитата Знак"/>
    <w:link w:val="834"/>
    <w:uiPriority w:val="30"/>
    <w:rPr>
      <w:i/>
    </w:rPr>
  </w:style>
  <w:style w:type="paragraph" w:styleId="836">
    <w:name w:val="Header"/>
    <w:basedOn w:val="804"/>
    <w:link w:val="1008"/>
    <w:uiPriority w:val="99"/>
    <w:pPr>
      <w:tabs>
        <w:tab w:val="center" w:pos="4677" w:leader="none"/>
        <w:tab w:val="right" w:pos="9355" w:leader="none"/>
      </w:tabs>
    </w:pPr>
  </w:style>
  <w:style w:type="character" w:styleId="837" w:customStyle="1">
    <w:name w:val="Header Char"/>
    <w:uiPriority w:val="99"/>
  </w:style>
  <w:style w:type="paragraph" w:styleId="838">
    <w:name w:val="Footer"/>
    <w:basedOn w:val="804"/>
    <w:link w:val="1015"/>
    <w:uiPriority w:val="99"/>
    <w:pPr>
      <w:tabs>
        <w:tab w:val="center" w:pos="4677" w:leader="none"/>
        <w:tab w:val="right" w:pos="9355" w:leader="none"/>
      </w:tabs>
    </w:pPr>
  </w:style>
  <w:style w:type="character" w:styleId="839" w:customStyle="1">
    <w:name w:val="Footer Char"/>
    <w:uiPriority w:val="99"/>
  </w:style>
  <w:style w:type="paragraph" w:styleId="840">
    <w:name w:val="Caption"/>
    <w:basedOn w:val="804"/>
    <w:next w:val="804"/>
    <w:link w:val="841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841" w:customStyle="1">
    <w:name w:val="Название объекта Знак"/>
    <w:link w:val="840"/>
    <w:uiPriority w:val="35"/>
    <w:rPr>
      <w:b/>
      <w:bCs/>
      <w:color w:val="4f81bd"/>
      <w:sz w:val="18"/>
      <w:szCs w:val="18"/>
    </w:rPr>
  </w:style>
  <w:style w:type="table" w:styleId="842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3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4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5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6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03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04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05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6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7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8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9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0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1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2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3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4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5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6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7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8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9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0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1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2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3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4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5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6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927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928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929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930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931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932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933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4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5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6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7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8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9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0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1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2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3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4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5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6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7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48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49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0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1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2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3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4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5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6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7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8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9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0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1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2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3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4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5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6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7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968">
    <w:name w:val="Hyperlink"/>
    <w:rPr>
      <w:color w:val="0000ff"/>
      <w:u w:val="single"/>
    </w:rPr>
  </w:style>
  <w:style w:type="paragraph" w:styleId="969">
    <w:name w:val="footnote text"/>
    <w:basedOn w:val="804"/>
    <w:link w:val="970"/>
    <w:uiPriority w:val="99"/>
    <w:semiHidden/>
    <w:unhideWhenUsed/>
    <w:pPr>
      <w:spacing w:after="40" w:line="240" w:lineRule="auto"/>
    </w:pPr>
    <w:rPr>
      <w:sz w:val="18"/>
    </w:rPr>
  </w:style>
  <w:style w:type="character" w:styleId="970" w:customStyle="1">
    <w:name w:val="Текст сноски Знак"/>
    <w:link w:val="969"/>
    <w:uiPriority w:val="99"/>
    <w:rPr>
      <w:sz w:val="18"/>
    </w:rPr>
  </w:style>
  <w:style w:type="character" w:styleId="971">
    <w:name w:val="footnote reference"/>
    <w:uiPriority w:val="99"/>
    <w:unhideWhenUsed/>
    <w:rPr>
      <w:vertAlign w:val="superscript"/>
    </w:rPr>
  </w:style>
  <w:style w:type="paragraph" w:styleId="972">
    <w:name w:val="endnote text"/>
    <w:basedOn w:val="804"/>
    <w:link w:val="973"/>
    <w:uiPriority w:val="99"/>
    <w:semiHidden/>
    <w:unhideWhenUsed/>
    <w:pPr>
      <w:spacing w:line="240" w:lineRule="auto"/>
    </w:pPr>
    <w:rPr>
      <w:sz w:val="20"/>
    </w:rPr>
  </w:style>
  <w:style w:type="character" w:styleId="973" w:customStyle="1">
    <w:name w:val="Текст концевой сноски Знак"/>
    <w:link w:val="972"/>
    <w:uiPriority w:val="99"/>
    <w:rPr>
      <w:sz w:val="20"/>
    </w:rPr>
  </w:style>
  <w:style w:type="character" w:styleId="974">
    <w:name w:val="endnote reference"/>
    <w:uiPriority w:val="99"/>
    <w:semiHidden/>
    <w:unhideWhenUsed/>
    <w:rPr>
      <w:vertAlign w:val="superscript"/>
    </w:rPr>
  </w:style>
  <w:style w:type="paragraph" w:styleId="975">
    <w:name w:val="toc 1"/>
    <w:basedOn w:val="804"/>
    <w:next w:val="804"/>
    <w:uiPriority w:val="39"/>
    <w:unhideWhenUsed/>
    <w:pPr>
      <w:ind w:firstLine="0"/>
      <w:spacing w:after="57"/>
    </w:pPr>
  </w:style>
  <w:style w:type="paragraph" w:styleId="976">
    <w:name w:val="toc 2"/>
    <w:basedOn w:val="804"/>
    <w:next w:val="804"/>
    <w:uiPriority w:val="39"/>
    <w:unhideWhenUsed/>
    <w:pPr>
      <w:ind w:left="283" w:firstLine="0"/>
      <w:spacing w:after="57"/>
    </w:pPr>
  </w:style>
  <w:style w:type="paragraph" w:styleId="977">
    <w:name w:val="toc 3"/>
    <w:basedOn w:val="804"/>
    <w:next w:val="804"/>
    <w:uiPriority w:val="39"/>
    <w:unhideWhenUsed/>
    <w:pPr>
      <w:ind w:left="567" w:firstLine="0"/>
      <w:spacing w:after="57"/>
    </w:pPr>
  </w:style>
  <w:style w:type="paragraph" w:styleId="978">
    <w:name w:val="toc 4"/>
    <w:basedOn w:val="804"/>
    <w:next w:val="804"/>
    <w:uiPriority w:val="39"/>
    <w:unhideWhenUsed/>
    <w:pPr>
      <w:ind w:left="850" w:firstLine="0"/>
      <w:spacing w:after="57"/>
    </w:pPr>
  </w:style>
  <w:style w:type="paragraph" w:styleId="979">
    <w:name w:val="toc 5"/>
    <w:basedOn w:val="804"/>
    <w:next w:val="804"/>
    <w:uiPriority w:val="39"/>
    <w:unhideWhenUsed/>
    <w:pPr>
      <w:ind w:left="1134" w:firstLine="0"/>
      <w:spacing w:after="57"/>
    </w:pPr>
  </w:style>
  <w:style w:type="paragraph" w:styleId="980">
    <w:name w:val="toc 6"/>
    <w:basedOn w:val="804"/>
    <w:next w:val="804"/>
    <w:uiPriority w:val="39"/>
    <w:unhideWhenUsed/>
    <w:pPr>
      <w:ind w:left="1417" w:firstLine="0"/>
      <w:spacing w:after="57"/>
    </w:pPr>
  </w:style>
  <w:style w:type="paragraph" w:styleId="981">
    <w:name w:val="toc 7"/>
    <w:basedOn w:val="804"/>
    <w:next w:val="804"/>
    <w:uiPriority w:val="39"/>
    <w:unhideWhenUsed/>
    <w:pPr>
      <w:ind w:left="1701" w:firstLine="0"/>
      <w:spacing w:after="57"/>
    </w:pPr>
  </w:style>
  <w:style w:type="paragraph" w:styleId="982">
    <w:name w:val="toc 8"/>
    <w:basedOn w:val="804"/>
    <w:next w:val="804"/>
    <w:uiPriority w:val="39"/>
    <w:unhideWhenUsed/>
    <w:pPr>
      <w:ind w:left="1984" w:firstLine="0"/>
      <w:spacing w:after="57"/>
    </w:pPr>
  </w:style>
  <w:style w:type="paragraph" w:styleId="983">
    <w:name w:val="toc 9"/>
    <w:basedOn w:val="804"/>
    <w:next w:val="804"/>
    <w:uiPriority w:val="39"/>
    <w:unhideWhenUsed/>
    <w:pPr>
      <w:ind w:left="2268" w:firstLine="0"/>
      <w:spacing w:after="57"/>
    </w:pPr>
  </w:style>
  <w:style w:type="paragraph" w:styleId="984">
    <w:name w:val="TOC Heading"/>
    <w:uiPriority w:val="39"/>
    <w:unhideWhenUsed/>
    <w:rPr>
      <w:lang w:eastAsia="zh-CN"/>
    </w:rPr>
  </w:style>
  <w:style w:type="paragraph" w:styleId="985">
    <w:name w:val="table of figures"/>
    <w:basedOn w:val="804"/>
    <w:next w:val="804"/>
    <w:uiPriority w:val="99"/>
    <w:unhideWhenUsed/>
  </w:style>
  <w:style w:type="paragraph" w:styleId="986" w:customStyle="1">
    <w:name w:val="Заголовок 2;Заголовок 2 Знак"/>
    <w:basedOn w:val="804"/>
    <w:next w:val="804"/>
    <w:qFormat/>
    <w:pPr>
      <w:ind w:left="1134" w:hanging="1134"/>
      <w:jc w:val="left"/>
      <w:keepNext/>
      <w:spacing w:before="360" w:after="120" w:line="240" w:lineRule="auto"/>
      <w:tabs>
        <w:tab w:val="num" w:pos="1134" w:leader="none"/>
      </w:tabs>
      <w:outlineLvl w:val="1"/>
    </w:pPr>
    <w:rPr>
      <w:b/>
      <w:sz w:val="32"/>
    </w:rPr>
  </w:style>
  <w:style w:type="paragraph" w:styleId="987" w:customStyle="1">
    <w:name w:val="Заголовок 3;H3"/>
    <w:basedOn w:val="804"/>
    <w:next w:val="804"/>
    <w:uiPriority w:val="9"/>
    <w:qFormat/>
    <w:pPr>
      <w:numPr>
        <w:ilvl w:val="2"/>
        <w:numId w:val="1"/>
      </w:numPr>
      <w:jc w:val="left"/>
      <w:keepNext/>
      <w:spacing w:before="120" w:after="120" w:line="240" w:lineRule="auto"/>
      <w:outlineLvl w:val="2"/>
    </w:pPr>
    <w:rPr>
      <w:b/>
    </w:rPr>
  </w:style>
  <w:style w:type="paragraph" w:styleId="988" w:customStyle="1">
    <w:name w:val="Заголовок 4;H4"/>
    <w:basedOn w:val="804"/>
    <w:next w:val="804"/>
    <w:uiPriority w:val="9"/>
    <w:qFormat/>
    <w:pPr>
      <w:numPr>
        <w:ilvl w:val="3"/>
        <w:numId w:val="1"/>
      </w:numPr>
      <w:ind w:left="1134"/>
      <w:keepNext/>
      <w:spacing w:before="240" w:after="120" w:line="240" w:lineRule="auto"/>
      <w:tabs>
        <w:tab w:val="num" w:pos="1134" w:leader="none"/>
        <w:tab w:val="clear" w:pos="1701" w:leader="none"/>
      </w:tabs>
      <w:outlineLvl w:val="3"/>
    </w:pPr>
    <w:rPr>
      <w:b/>
      <w:i/>
    </w:rPr>
  </w:style>
  <w:style w:type="character" w:styleId="989" w:customStyle="1">
    <w:name w:val="Основной шрифт абзаца;Знак Знак Знак1"/>
    <w:semiHidden/>
  </w:style>
  <w:style w:type="character" w:styleId="990" w:customStyle="1">
    <w:name w:val="комментарий"/>
    <w:rPr>
      <w:b/>
      <w:i/>
      <w:shd w:val="clear" w:color="auto" w:fill="ffff99"/>
    </w:rPr>
  </w:style>
  <w:style w:type="paragraph" w:styleId="991" w:customStyle="1">
    <w:name w:val="Стиль Заголовок 1 + по ширине"/>
    <w:basedOn w:val="805"/>
    <w:pPr>
      <w:numPr>
        <w:ilvl w:val="0"/>
        <w:numId w:val="1"/>
      </w:numPr>
      <w:keepLines/>
      <w:spacing w:before="480" w:after="240" w:line="240" w:lineRule="auto"/>
    </w:pPr>
    <w:rPr>
      <w:rFonts w:cs="Times New Roman"/>
      <w:sz w:val="40"/>
      <w:szCs w:val="20"/>
    </w:rPr>
  </w:style>
  <w:style w:type="paragraph" w:styleId="992">
    <w:name w:val="Body Text Indent"/>
    <w:basedOn w:val="804"/>
    <w:pPr>
      <w:ind w:left="-360"/>
      <w:spacing w:line="240" w:lineRule="auto"/>
      <w:tabs>
        <w:tab w:val="num" w:pos="720" w:leader="none"/>
      </w:tabs>
    </w:pPr>
    <w:rPr>
      <w:sz w:val="26"/>
    </w:rPr>
  </w:style>
  <w:style w:type="character" w:styleId="993">
    <w:name w:val="page number"/>
    <w:basedOn w:val="989"/>
  </w:style>
  <w:style w:type="paragraph" w:styleId="994">
    <w:name w:val="Balloon Text"/>
    <w:basedOn w:val="804"/>
    <w:link w:val="1016"/>
    <w:uiPriority w:val="99"/>
    <w:semiHidden/>
    <w:rPr>
      <w:rFonts w:ascii="Tahoma" w:hAnsi="Tahoma" w:cs="Tahoma"/>
      <w:sz w:val="16"/>
      <w:szCs w:val="16"/>
    </w:rPr>
  </w:style>
  <w:style w:type="paragraph" w:styleId="995" w:customStyle="1">
    <w:name w:val="Таблица текст"/>
    <w:basedOn w:val="804"/>
    <w:pPr>
      <w:ind w:left="57" w:right="57" w:firstLine="0"/>
      <w:jc w:val="left"/>
      <w:spacing w:before="40" w:after="40" w:line="240" w:lineRule="auto"/>
    </w:pPr>
    <w:rPr>
      <w:sz w:val="24"/>
    </w:rPr>
  </w:style>
  <w:style w:type="character" w:styleId="996" w:customStyle="1">
    <w:name w:val="Пункт Знак"/>
    <w:rPr>
      <w:b/>
      <w:sz w:val="28"/>
      <w:szCs w:val="28"/>
      <w:lang w:val="ru-RU" w:eastAsia="ru-RU" w:bidi="ar-SA"/>
    </w:rPr>
  </w:style>
  <w:style w:type="paragraph" w:styleId="997" w:customStyle="1">
    <w:name w:val="Пункт"/>
    <w:basedOn w:val="804"/>
    <w:link w:val="1010"/>
    <w:pPr>
      <w:ind w:left="1134" w:hanging="1134"/>
      <w:tabs>
        <w:tab w:val="num" w:pos="1134" w:leader="none"/>
      </w:tabs>
    </w:pPr>
    <w:rPr>
      <w:b/>
      <w:szCs w:val="28"/>
    </w:rPr>
  </w:style>
  <w:style w:type="paragraph" w:styleId="998" w:customStyle="1">
    <w:name w:val="Пункт-2"/>
    <w:basedOn w:val="997"/>
    <w:pPr>
      <w:keepNext/>
      <w:outlineLvl w:val="2"/>
    </w:pPr>
    <w:rPr>
      <w:b w:val="0"/>
    </w:rPr>
  </w:style>
  <w:style w:type="paragraph" w:styleId="999" w:customStyle="1">
    <w:name w:val="Знак"/>
    <w:basedOn w:val="804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00" w:customStyle="1">
    <w:name w:val="Знак Знак Знак"/>
    <w:basedOn w:val="804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paragraph" w:styleId="1001" w:customStyle="1">
    <w:name w:val="Знак"/>
    <w:basedOn w:val="804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02" w:customStyle="1">
    <w:name w:val="Знак Знак Знак1 Знак Знак Знак Знак Знак Знак Знак"/>
    <w:basedOn w:val="804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03">
    <w:name w:val="List Number"/>
    <w:basedOn w:val="804"/>
    <w:pPr>
      <w:numPr>
        <w:ilvl w:val="0"/>
        <w:numId w:val="10"/>
      </w:numPr>
      <w:spacing w:before="60"/>
    </w:pPr>
    <w:rPr>
      <w:bCs/>
      <w:sz w:val="22"/>
      <w:szCs w:val="24"/>
    </w:rPr>
  </w:style>
  <w:style w:type="paragraph" w:styleId="1004">
    <w:name w:val="Body Text Indent 2"/>
    <w:basedOn w:val="804"/>
    <w:pPr>
      <w:ind w:left="-540" w:firstLine="0"/>
      <w:jc w:val="center"/>
      <w:spacing w:line="240" w:lineRule="auto"/>
    </w:pPr>
    <w:rPr>
      <w:sz w:val="24"/>
    </w:rPr>
  </w:style>
  <w:style w:type="paragraph" w:styleId="1005" w:customStyle="1">
    <w:name w:val="Normal1"/>
    <w:pPr>
      <w:ind w:firstLine="400"/>
      <w:jc w:val="both"/>
      <w:widowControl w:val="off"/>
    </w:pPr>
    <w:rPr>
      <w:sz w:val="24"/>
    </w:rPr>
  </w:style>
  <w:style w:type="character" w:styleId="1006">
    <w:name w:val="Strong"/>
    <w:qFormat/>
    <w:rPr>
      <w:b/>
      <w:bCs/>
    </w:rPr>
  </w:style>
  <w:style w:type="paragraph" w:styleId="1007" w:customStyle="1">
    <w:name w:val="xl34"/>
    <w:basedOn w:val="804"/>
    <w:pPr>
      <w:ind w:firstLine="0"/>
      <w:jc w:val="left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4"/>
      <w:szCs w:val="24"/>
    </w:rPr>
  </w:style>
  <w:style w:type="character" w:styleId="1008" w:customStyle="1">
    <w:name w:val="Верхний колонтитул Знак"/>
    <w:link w:val="836"/>
    <w:uiPriority w:val="99"/>
    <w:rPr>
      <w:sz w:val="28"/>
      <w:lang w:val="ru-RU" w:eastAsia="ru-RU" w:bidi="ar-SA"/>
    </w:rPr>
  </w:style>
  <w:style w:type="paragraph" w:styleId="1009" w:customStyle="1">
    <w:name w:val="Знак Знак Знак Знак"/>
    <w:basedOn w:val="804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character" w:styleId="1010" w:customStyle="1">
    <w:name w:val="Пункт Знак1"/>
    <w:link w:val="997"/>
    <w:rPr>
      <w:b/>
      <w:sz w:val="28"/>
      <w:szCs w:val="28"/>
      <w:lang w:val="ru-RU" w:eastAsia="ru-RU" w:bidi="ar-SA"/>
    </w:rPr>
  </w:style>
  <w:style w:type="paragraph" w:styleId="1011" w:customStyle="1">
    <w:name w:val="Знак Знак Знак1 Знак Знак Знак Знак Знак Знак Знак"/>
    <w:basedOn w:val="804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2" w:customStyle="1">
    <w:name w:val="Знак Знак Знак Знак Знак Знак Знак"/>
    <w:basedOn w:val="804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paragraph" w:styleId="1013" w:customStyle="1">
    <w:name w:val="Ариал"/>
    <w:basedOn w:val="804"/>
    <w:pPr>
      <w:ind w:firstLine="851"/>
      <w:spacing w:before="120" w:after="120"/>
    </w:pPr>
    <w:rPr>
      <w:rFonts w:ascii="Arial" w:hAnsi="Arial" w:cs="Arial"/>
      <w:sz w:val="24"/>
      <w:szCs w:val="24"/>
    </w:rPr>
  </w:style>
  <w:style w:type="paragraph" w:styleId="1014" w:customStyle="1">
    <w:name w:val="Знак Знак Знак Знак Знак Знак Знак"/>
    <w:basedOn w:val="804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character" w:styleId="1015" w:customStyle="1">
    <w:name w:val="Нижний колонтитул Знак"/>
    <w:link w:val="838"/>
    <w:uiPriority w:val="99"/>
    <w:rPr>
      <w:sz w:val="28"/>
    </w:rPr>
  </w:style>
  <w:style w:type="character" w:styleId="1016" w:customStyle="1">
    <w:name w:val="Текст выноски Знак"/>
    <w:link w:val="994"/>
    <w:uiPriority w:val="99"/>
    <w:semiHidden/>
    <w:rPr>
      <w:rFonts w:ascii="Tahoma" w:hAnsi="Tahoma" w:cs="Tahoma"/>
      <w:sz w:val="16"/>
      <w:szCs w:val="16"/>
    </w:rPr>
  </w:style>
  <w:style w:type="paragraph" w:styleId="1017">
    <w:name w:val="Normal (Web)"/>
    <w:basedOn w:val="804"/>
    <w:uiPriority w:val="99"/>
    <w:unhideWhenUsed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18" w:customStyle="1">
    <w:name w:val="msonormal_mr_css_attr"/>
    <w:basedOn w:val="804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19" w:customStyle="1">
    <w:name w:val="cxspmiddle_mr_css_attr"/>
    <w:basedOn w:val="804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20" w:customStyle="1">
    <w:name w:val="msonospacing_mr_css_attr"/>
    <w:basedOn w:val="804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21" w:customStyle="1">
    <w:name w:val="Обычный1"/>
    <w:pPr>
      <w:ind w:firstLine="400"/>
      <w:jc w:val="both"/>
      <w:widowControl w:val="off"/>
    </w:pPr>
    <w:rPr>
      <w:sz w:val="24"/>
    </w:rPr>
  </w:style>
  <w:style w:type="paragraph" w:styleId="1022" w:customStyle="1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3_Абзац списка;таблица"/>
    <w:uiPriority w:val="34"/>
    <w:qFormat/>
    <w:pPr>
      <w:contextualSpacing/>
      <w:ind w:left="720" w:firstLine="567"/>
      <w:jc w:val="both"/>
      <w:spacing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8"/>
      <w:lang w:eastAsia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hyperlink" Target="javascript:void(0);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B8775-44D2-4D3E-90A8-7CD6296CE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energy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Конкурсной комиссии по оценке конкурсных заявок и выбору Победителя конкурса</dc:title>
  <dc:creator>skp</dc:creator>
  <cp:lastModifiedBy>fedotychevavs</cp:lastModifiedBy>
  <cp:revision>106</cp:revision>
  <dcterms:created xsi:type="dcterms:W3CDTF">2024-09-26T10:02:00Z</dcterms:created>
  <dcterms:modified xsi:type="dcterms:W3CDTF">2025-07-01T08:41:33Z</dcterms:modified>
  <cp:version>917504</cp:version>
</cp:coreProperties>
</file>